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CA19" w14:textId="77777777" w:rsidR="00A06142" w:rsidRPr="002B074F" w:rsidRDefault="00A06142" w:rsidP="002B074F">
      <w:pPr>
        <w:pStyle w:val="GvdeMetni"/>
        <w:spacing w:line="360" w:lineRule="auto"/>
        <w:rPr>
          <w:b w:val="0"/>
          <w:sz w:val="22"/>
          <w:szCs w:val="22"/>
        </w:rPr>
      </w:pPr>
    </w:p>
    <w:p w14:paraId="245BD859" w14:textId="5D22B9F4" w:rsidR="00610D0E" w:rsidRPr="002B074F" w:rsidRDefault="00610D0E" w:rsidP="002B074F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 w:rsidRPr="002B074F">
        <w:rPr>
          <w:b w:val="0"/>
          <w:noProof/>
          <w:sz w:val="22"/>
          <w:szCs w:val="22"/>
        </w:rPr>
        <mc:AlternateContent>
          <mc:Choice Requires="wps">
            <w:drawing>
              <wp:inline distT="0" distB="0" distL="0" distR="0" wp14:anchorId="13CDFAF6" wp14:editId="002D18F2">
                <wp:extent cx="6322695" cy="1201420"/>
                <wp:effectExtent l="10160" t="7620" r="10795" b="10160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1201420"/>
                        </a:xfrm>
                        <a:prstGeom prst="rect">
                          <a:avLst/>
                        </a:prstGeom>
                        <a:solidFill>
                          <a:srgbClr val="8063A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4F8C0" w14:textId="6E210964" w:rsidR="00610D0E" w:rsidRDefault="00610D0E" w:rsidP="00610D0E">
                            <w:pPr>
                              <w:pStyle w:val="GvdeMetni"/>
                              <w:spacing w:before="1"/>
                              <w:ind w:right="1324"/>
                              <w:jc w:val="center"/>
                            </w:pPr>
                            <w:r>
                              <w:t xml:space="preserve">      </w:t>
                            </w:r>
                            <w:r w:rsidR="00F10755" w:rsidRPr="00F10755">
                              <w:t>SİNİR BİLİMİ</w:t>
                            </w:r>
                          </w:p>
                          <w:p w14:paraId="4017E2D3" w14:textId="77777777" w:rsidR="00610D0E" w:rsidRDefault="00610D0E" w:rsidP="00610D0E">
                            <w:pPr>
                              <w:pStyle w:val="GvdeMetni"/>
                              <w:spacing w:before="1"/>
                              <w:ind w:right="1324"/>
                              <w:jc w:val="center"/>
                            </w:pPr>
                            <w:r>
                              <w:t xml:space="preserve">      (DÖNEM 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CDFAF6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width:497.85pt;height:9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" fillcolor="#8063a1" strokeweight=".16936mm">
                <v:textbox inset="0,0,0,0">
                  <w:txbxContent>
                    <w:p w14:paraId="7A94F8C0" w14:textId="6E210964" w:rsidR="00610D0E" w:rsidRDefault="00610D0E" w:rsidP="00610D0E">
                      <w:pPr>
                        <w:pStyle w:val="GvdeMetni"/>
                        <w:spacing w:before="1"/>
                        <w:ind w:right="1324"/>
                        <w:jc w:val="center"/>
                      </w:pPr>
                      <w:r>
                        <w:t xml:space="preserve">      </w:t>
                      </w:r>
                      <w:r w:rsidR="00F10755" w:rsidRPr="00F10755">
                        <w:t>SİNİR BİLİMİ</w:t>
                      </w:r>
                    </w:p>
                    <w:p w14:paraId="4017E2D3" w14:textId="77777777" w:rsidR="00610D0E" w:rsidRDefault="00610D0E" w:rsidP="00610D0E">
                      <w:pPr>
                        <w:pStyle w:val="GvdeMetni"/>
                        <w:spacing w:before="1"/>
                        <w:ind w:right="1324"/>
                        <w:jc w:val="center"/>
                      </w:pPr>
                      <w:r>
                        <w:t xml:space="preserve">      (DÖNEM 4)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599255" w14:textId="77777777" w:rsidR="00A06142" w:rsidRPr="002B074F" w:rsidRDefault="00A06142" w:rsidP="002B074F">
      <w:pPr>
        <w:spacing w:line="360" w:lineRule="auto"/>
        <w:jc w:val="center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A06142" w:rsidRPr="002B074F" w14:paraId="1FB1CA1F" w14:textId="77777777" w:rsidTr="00610D0E">
        <w:trPr>
          <w:trHeight w:val="479"/>
        </w:trPr>
        <w:tc>
          <w:tcPr>
            <w:tcW w:w="9997" w:type="dxa"/>
            <w:gridSpan w:val="2"/>
            <w:shd w:val="clear" w:color="auto" w:fill="94B3D6"/>
          </w:tcPr>
          <w:p w14:paraId="1FB1CA1E" w14:textId="1ECC7715" w:rsidR="00A06142" w:rsidRPr="002B074F" w:rsidRDefault="00E7663F" w:rsidP="002B074F">
            <w:pPr>
              <w:pStyle w:val="TableParagraph"/>
              <w:spacing w:line="360" w:lineRule="auto"/>
              <w:ind w:right="1608"/>
              <w:rPr>
                <w:b/>
              </w:rPr>
            </w:pPr>
            <w:r w:rsidRPr="002B074F">
              <w:rPr>
                <w:b/>
              </w:rPr>
              <w:t>AMAÇ</w:t>
            </w:r>
            <w:r w:rsidR="00A9456E" w:rsidRPr="002B074F">
              <w:rPr>
                <w:b/>
              </w:rPr>
              <w:t>(</w:t>
            </w:r>
            <w:r w:rsidRPr="002B074F">
              <w:rPr>
                <w:b/>
              </w:rPr>
              <w:t>LAR</w:t>
            </w:r>
            <w:r w:rsidR="00A9456E" w:rsidRPr="002B074F">
              <w:rPr>
                <w:b/>
              </w:rPr>
              <w:t>)</w:t>
            </w:r>
          </w:p>
        </w:tc>
      </w:tr>
      <w:tr w:rsidR="00A06142" w:rsidRPr="002B074F" w14:paraId="1FB1CA22" w14:textId="77777777">
        <w:trPr>
          <w:trHeight w:val="803"/>
        </w:trPr>
        <w:tc>
          <w:tcPr>
            <w:tcW w:w="660" w:type="dxa"/>
          </w:tcPr>
          <w:p w14:paraId="1FB1CA20" w14:textId="77777777" w:rsidR="00A06142" w:rsidRPr="002B074F" w:rsidRDefault="00E7663F" w:rsidP="002B074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2B074F">
              <w:rPr>
                <w:b/>
              </w:rPr>
              <w:t>1</w:t>
            </w:r>
          </w:p>
        </w:tc>
        <w:tc>
          <w:tcPr>
            <w:tcW w:w="9337" w:type="dxa"/>
          </w:tcPr>
          <w:p w14:paraId="1FB1CA21" w14:textId="4A3B3BEF" w:rsidR="00A06142" w:rsidRPr="002B074F" w:rsidRDefault="00A9456E" w:rsidP="002B074F">
            <w:pPr>
              <w:pStyle w:val="TableParagraph"/>
              <w:spacing w:line="360" w:lineRule="auto"/>
            </w:pPr>
            <w:r w:rsidRPr="002B074F">
              <w:t>Bu sta</w:t>
            </w:r>
            <w:r w:rsidR="001B4502" w:rsidRPr="002B074F">
              <w:t>jda öğrencilerin</w:t>
            </w:r>
            <w:r w:rsidRPr="002B074F">
              <w:t xml:space="preserve"> beyin işlevlerinin moleküler, klinik öncesi ve klinik modellerini bir araya getirerek çalışan yaklaşımları </w:t>
            </w:r>
            <w:r w:rsidR="006B6572" w:rsidRPr="002B074F">
              <w:t>öğrenmesi</w:t>
            </w:r>
            <w:r w:rsidR="001B4502" w:rsidRPr="002B074F">
              <w:t xml:space="preserve"> amaçlanmaktadır</w:t>
            </w:r>
            <w:r w:rsidRPr="002B074F">
              <w:t xml:space="preserve">. </w:t>
            </w:r>
            <w:r w:rsidR="0044583C" w:rsidRPr="002B074F">
              <w:t>Bu stajda öğrencilerin b</w:t>
            </w:r>
            <w:r w:rsidRPr="002B074F">
              <w:t>eyin işlevlerine dair bu biyolojik modeller</w:t>
            </w:r>
            <w:r w:rsidR="002700F2" w:rsidRPr="002B074F">
              <w:t>i</w:t>
            </w:r>
            <w:r w:rsidRPr="002B074F">
              <w:t xml:space="preserve"> davranışsal, </w:t>
            </w:r>
            <w:proofErr w:type="spellStart"/>
            <w:r w:rsidRPr="002B074F">
              <w:t>afektif</w:t>
            </w:r>
            <w:proofErr w:type="spellEnd"/>
            <w:r w:rsidRPr="002B074F">
              <w:t xml:space="preserve"> ve </w:t>
            </w:r>
            <w:proofErr w:type="gramStart"/>
            <w:r w:rsidRPr="002B074F">
              <w:t>kognitif</w:t>
            </w:r>
            <w:proofErr w:type="gramEnd"/>
            <w:r w:rsidRPr="002B074F">
              <w:t xml:space="preserve"> işlevler ve bunların bozuklukları ile ilişkilen</w:t>
            </w:r>
            <w:r w:rsidR="0044583C" w:rsidRPr="002B074F">
              <w:t>direbilmesi amaçlanmaktadır.</w:t>
            </w:r>
          </w:p>
        </w:tc>
      </w:tr>
    </w:tbl>
    <w:p w14:paraId="1FB1CA26" w14:textId="77777777" w:rsidR="00A06142" w:rsidRPr="002B074F" w:rsidRDefault="00A06142" w:rsidP="002B074F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610D0E" w:rsidRPr="002B074F" w14:paraId="585DC446" w14:textId="77777777" w:rsidTr="00C2703D">
        <w:trPr>
          <w:trHeight w:val="461"/>
        </w:trPr>
        <w:tc>
          <w:tcPr>
            <w:tcW w:w="9997" w:type="dxa"/>
            <w:gridSpan w:val="2"/>
            <w:shd w:val="clear" w:color="auto" w:fill="94B3D6"/>
          </w:tcPr>
          <w:p w14:paraId="08B30F47" w14:textId="76D1D77A" w:rsidR="00610D0E" w:rsidRPr="002B074F" w:rsidRDefault="00610D0E" w:rsidP="002B074F">
            <w:pPr>
              <w:pStyle w:val="TableParagraph"/>
              <w:spacing w:line="360" w:lineRule="auto"/>
              <w:ind w:right="1608"/>
              <w:rPr>
                <w:b/>
              </w:rPr>
            </w:pPr>
            <w:r w:rsidRPr="002B074F">
              <w:rPr>
                <w:b/>
              </w:rPr>
              <w:t xml:space="preserve">ÖĞRENİM </w:t>
            </w:r>
            <w:proofErr w:type="gramStart"/>
            <w:r w:rsidRPr="002B074F">
              <w:rPr>
                <w:b/>
              </w:rPr>
              <w:t>HEDEF</w:t>
            </w:r>
            <w:r w:rsidR="008D4FE6" w:rsidRPr="002B074F">
              <w:rPr>
                <w:b/>
              </w:rPr>
              <w:t>(</w:t>
            </w:r>
            <w:proofErr w:type="gramEnd"/>
            <w:r w:rsidRPr="002B074F">
              <w:rPr>
                <w:b/>
              </w:rPr>
              <w:t>LER</w:t>
            </w:r>
            <w:r w:rsidR="008D4FE6" w:rsidRPr="002B074F">
              <w:rPr>
                <w:b/>
              </w:rPr>
              <w:t>)</w:t>
            </w:r>
            <w:r w:rsidRPr="002B074F">
              <w:rPr>
                <w:b/>
              </w:rPr>
              <w:t>İ</w:t>
            </w:r>
          </w:p>
        </w:tc>
      </w:tr>
      <w:tr w:rsidR="00610D0E" w:rsidRPr="002B074F" w14:paraId="410E06BA" w14:textId="77777777" w:rsidTr="00C2703D">
        <w:trPr>
          <w:trHeight w:val="482"/>
        </w:trPr>
        <w:tc>
          <w:tcPr>
            <w:tcW w:w="660" w:type="dxa"/>
          </w:tcPr>
          <w:p w14:paraId="203F9516" w14:textId="77777777" w:rsidR="00610D0E" w:rsidRPr="002B074F" w:rsidRDefault="00610D0E" w:rsidP="002B074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2B074F">
              <w:rPr>
                <w:b/>
              </w:rPr>
              <w:t>1</w:t>
            </w:r>
          </w:p>
        </w:tc>
        <w:tc>
          <w:tcPr>
            <w:tcW w:w="9337" w:type="dxa"/>
          </w:tcPr>
          <w:p w14:paraId="424736CC" w14:textId="414F1B56" w:rsidR="00610D0E" w:rsidRPr="002B074F" w:rsidRDefault="00541BEB" w:rsidP="002B074F">
            <w:pPr>
              <w:pStyle w:val="TableParagraph"/>
              <w:spacing w:line="360" w:lineRule="auto"/>
              <w:ind w:left="0"/>
            </w:pPr>
            <w:r w:rsidRPr="002B074F">
              <w:t xml:space="preserve">Dinlenme potansiyeli, aksiyon potansiyeli ve </w:t>
            </w:r>
            <w:proofErr w:type="spellStart"/>
            <w:r w:rsidRPr="002B074F">
              <w:t>nörotransmisyon</w:t>
            </w:r>
            <w:proofErr w:type="spellEnd"/>
            <w:r w:rsidRPr="002B074F">
              <w:t xml:space="preserve"> yoluyla nöronal iletişimi </w:t>
            </w:r>
            <w:r w:rsidR="00867419" w:rsidRPr="002B074F">
              <w:t>açıklayabilme</w:t>
            </w:r>
            <w:r w:rsidR="00907635" w:rsidRPr="002B074F">
              <w:t>.</w:t>
            </w:r>
          </w:p>
        </w:tc>
      </w:tr>
      <w:tr w:rsidR="00610D0E" w:rsidRPr="002B074F" w14:paraId="1CB0CCA1" w14:textId="77777777" w:rsidTr="00541BEB">
        <w:trPr>
          <w:trHeight w:val="411"/>
        </w:trPr>
        <w:tc>
          <w:tcPr>
            <w:tcW w:w="660" w:type="dxa"/>
          </w:tcPr>
          <w:p w14:paraId="5224E682" w14:textId="77777777" w:rsidR="00610D0E" w:rsidRPr="002B074F" w:rsidRDefault="00610D0E" w:rsidP="002B074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2B074F">
              <w:rPr>
                <w:b/>
              </w:rPr>
              <w:t>2</w:t>
            </w:r>
          </w:p>
        </w:tc>
        <w:tc>
          <w:tcPr>
            <w:tcW w:w="9337" w:type="dxa"/>
          </w:tcPr>
          <w:p w14:paraId="6CABFA5E" w14:textId="12D89C32" w:rsidR="00610D0E" w:rsidRPr="002B074F" w:rsidRDefault="00541BEB" w:rsidP="002B074F">
            <w:pPr>
              <w:pStyle w:val="TableParagraph"/>
              <w:spacing w:line="360" w:lineRule="auto"/>
              <w:ind w:left="0"/>
            </w:pPr>
            <w:r w:rsidRPr="002B074F">
              <w:t xml:space="preserve">Beynin genel organizasyonunu </w:t>
            </w:r>
            <w:r w:rsidR="00867419" w:rsidRPr="002B074F">
              <w:t>açıklayabilme</w:t>
            </w:r>
            <w:r w:rsidR="00907635" w:rsidRPr="002B074F">
              <w:t>.</w:t>
            </w:r>
          </w:p>
        </w:tc>
      </w:tr>
      <w:tr w:rsidR="00610D0E" w:rsidRPr="002B074F" w14:paraId="7F509439" w14:textId="77777777" w:rsidTr="00541BEB">
        <w:trPr>
          <w:trHeight w:val="710"/>
        </w:trPr>
        <w:tc>
          <w:tcPr>
            <w:tcW w:w="660" w:type="dxa"/>
          </w:tcPr>
          <w:p w14:paraId="45A7064B" w14:textId="77777777" w:rsidR="00610D0E" w:rsidRPr="002B074F" w:rsidRDefault="00610D0E" w:rsidP="002B074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2B074F">
              <w:rPr>
                <w:b/>
              </w:rPr>
              <w:t>3</w:t>
            </w:r>
          </w:p>
        </w:tc>
        <w:tc>
          <w:tcPr>
            <w:tcW w:w="9337" w:type="dxa"/>
          </w:tcPr>
          <w:p w14:paraId="33A941DD" w14:textId="14E93B21" w:rsidR="00610D0E" w:rsidRPr="002B074F" w:rsidRDefault="00541BEB" w:rsidP="002B074F">
            <w:pPr>
              <w:pStyle w:val="TableParagraph"/>
              <w:spacing w:line="360" w:lineRule="auto"/>
              <w:ind w:left="0"/>
            </w:pPr>
            <w:r w:rsidRPr="002B074F">
              <w:t xml:space="preserve">Beynin organizasyonunu bilişsel süreçlerle (görsel işleme, işitsel işleme, dikkat ve/veya </w:t>
            </w:r>
            <w:r w:rsidR="00907635" w:rsidRPr="002B074F">
              <w:t>bellek gibi</w:t>
            </w:r>
            <w:r w:rsidRPr="002B074F">
              <w:t xml:space="preserve">) işlevsel </w:t>
            </w:r>
            <w:proofErr w:type="spellStart"/>
            <w:r w:rsidRPr="002B074F">
              <w:t>lateralizasyon</w:t>
            </w:r>
            <w:proofErr w:type="spellEnd"/>
            <w:r w:rsidRPr="002B074F">
              <w:t xml:space="preserve"> ve/veya </w:t>
            </w:r>
            <w:proofErr w:type="spellStart"/>
            <w:r w:rsidRPr="002B074F">
              <w:t>hemisferik</w:t>
            </w:r>
            <w:proofErr w:type="spellEnd"/>
            <w:r w:rsidRPr="002B074F">
              <w:t xml:space="preserve"> uzmanlaşmayı ilişkilendir</w:t>
            </w:r>
            <w:r w:rsidR="00867419" w:rsidRPr="002B074F">
              <w:t>ebilme</w:t>
            </w:r>
            <w:r w:rsidR="00907635" w:rsidRPr="002B074F">
              <w:t>.</w:t>
            </w:r>
          </w:p>
        </w:tc>
      </w:tr>
      <w:tr w:rsidR="00610D0E" w:rsidRPr="002B074F" w14:paraId="09132289" w14:textId="77777777" w:rsidTr="00541BEB">
        <w:trPr>
          <w:trHeight w:val="692"/>
        </w:trPr>
        <w:tc>
          <w:tcPr>
            <w:tcW w:w="660" w:type="dxa"/>
          </w:tcPr>
          <w:p w14:paraId="51533FD9" w14:textId="77777777" w:rsidR="00610D0E" w:rsidRPr="002B074F" w:rsidRDefault="00610D0E" w:rsidP="002B074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2B074F">
              <w:rPr>
                <w:b/>
              </w:rPr>
              <w:t>4</w:t>
            </w:r>
          </w:p>
        </w:tc>
        <w:tc>
          <w:tcPr>
            <w:tcW w:w="9337" w:type="dxa"/>
          </w:tcPr>
          <w:p w14:paraId="01C54C77" w14:textId="229A0F0E" w:rsidR="00610D0E" w:rsidRPr="002B074F" w:rsidRDefault="00541BEB" w:rsidP="002B074F">
            <w:pPr>
              <w:pStyle w:val="TableParagraph"/>
              <w:spacing w:line="360" w:lineRule="auto"/>
              <w:ind w:left="0"/>
            </w:pPr>
            <w:r w:rsidRPr="002B074F">
              <w:t xml:space="preserve">Tipik ve atipik bilişsel ve duygusal süreçleri ve yaygın hastalıkların ve/veya sinir </w:t>
            </w:r>
            <w:r w:rsidR="00907635" w:rsidRPr="002B074F">
              <w:t>sistemi bozukluklarının</w:t>
            </w:r>
            <w:r w:rsidRPr="002B074F">
              <w:t xml:space="preserve"> altında yatan patolojik mekanizmaları </w:t>
            </w:r>
            <w:r w:rsidR="00867419" w:rsidRPr="002B074F">
              <w:t>açıklayabilme</w:t>
            </w:r>
            <w:r w:rsidR="00907635" w:rsidRPr="002B074F">
              <w:t>.</w:t>
            </w:r>
          </w:p>
        </w:tc>
      </w:tr>
    </w:tbl>
    <w:p w14:paraId="77321F4F" w14:textId="77777777" w:rsidR="00610D0E" w:rsidRPr="002B074F" w:rsidRDefault="00610D0E" w:rsidP="002B074F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610D0E" w:rsidRPr="002B074F" w14:paraId="02745E9A" w14:textId="77777777" w:rsidTr="00C2703D">
        <w:trPr>
          <w:trHeight w:val="555"/>
        </w:trPr>
        <w:tc>
          <w:tcPr>
            <w:tcW w:w="9997" w:type="dxa"/>
            <w:gridSpan w:val="2"/>
            <w:shd w:val="clear" w:color="auto" w:fill="94B3D6"/>
          </w:tcPr>
          <w:p w14:paraId="6F253BCF" w14:textId="3AE70F34" w:rsidR="00610D0E" w:rsidRPr="002B074F" w:rsidRDefault="00610D0E" w:rsidP="002B074F">
            <w:pPr>
              <w:pStyle w:val="TableParagraph"/>
              <w:spacing w:line="360" w:lineRule="auto"/>
              <w:ind w:right="1608"/>
              <w:rPr>
                <w:b/>
              </w:rPr>
            </w:pPr>
            <w:r w:rsidRPr="002B074F">
              <w:rPr>
                <w:b/>
              </w:rPr>
              <w:t xml:space="preserve">ÖĞRENİM </w:t>
            </w:r>
            <w:proofErr w:type="gramStart"/>
            <w:r w:rsidRPr="002B074F">
              <w:rPr>
                <w:b/>
              </w:rPr>
              <w:t>KAZANIM</w:t>
            </w:r>
            <w:r w:rsidR="008D4FE6" w:rsidRPr="002B074F">
              <w:rPr>
                <w:b/>
              </w:rPr>
              <w:t>(</w:t>
            </w:r>
            <w:proofErr w:type="gramEnd"/>
            <w:r w:rsidRPr="002B074F">
              <w:rPr>
                <w:b/>
              </w:rPr>
              <w:t>LAR</w:t>
            </w:r>
            <w:r w:rsidR="008D4FE6" w:rsidRPr="002B074F">
              <w:rPr>
                <w:b/>
              </w:rPr>
              <w:t>)</w:t>
            </w:r>
            <w:r w:rsidRPr="002B074F">
              <w:rPr>
                <w:b/>
              </w:rPr>
              <w:t>I</w:t>
            </w:r>
          </w:p>
        </w:tc>
      </w:tr>
      <w:tr w:rsidR="00867419" w:rsidRPr="002B074F" w14:paraId="6289E59C" w14:textId="77777777" w:rsidTr="00C2703D">
        <w:trPr>
          <w:trHeight w:val="479"/>
        </w:trPr>
        <w:tc>
          <w:tcPr>
            <w:tcW w:w="660" w:type="dxa"/>
          </w:tcPr>
          <w:p w14:paraId="455DEAB9" w14:textId="77777777" w:rsidR="00867419" w:rsidRPr="002B074F" w:rsidRDefault="00867419" w:rsidP="002B074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2B074F">
              <w:rPr>
                <w:b/>
              </w:rPr>
              <w:t>1</w:t>
            </w:r>
          </w:p>
        </w:tc>
        <w:tc>
          <w:tcPr>
            <w:tcW w:w="9337" w:type="dxa"/>
          </w:tcPr>
          <w:p w14:paraId="3F029E91" w14:textId="2C652132" w:rsidR="00867419" w:rsidRPr="002B074F" w:rsidRDefault="00867419" w:rsidP="002B074F">
            <w:pPr>
              <w:pStyle w:val="TableParagraph"/>
              <w:spacing w:line="360" w:lineRule="auto"/>
            </w:pPr>
            <w:r w:rsidRPr="002B074F">
              <w:t xml:space="preserve">Dinlenme potansiyeli, aksiyon potansiyeli ve </w:t>
            </w:r>
            <w:proofErr w:type="spellStart"/>
            <w:r w:rsidRPr="002B074F">
              <w:t>nörotransmisyon</w:t>
            </w:r>
            <w:proofErr w:type="spellEnd"/>
            <w:r w:rsidRPr="002B074F">
              <w:t xml:space="preserve"> yoluyla nöronal iletişimi açıklayabilir.</w:t>
            </w:r>
          </w:p>
        </w:tc>
      </w:tr>
      <w:tr w:rsidR="00867419" w:rsidRPr="002B074F" w14:paraId="2136D79C" w14:textId="77777777" w:rsidTr="00867419">
        <w:trPr>
          <w:trHeight w:val="361"/>
        </w:trPr>
        <w:tc>
          <w:tcPr>
            <w:tcW w:w="660" w:type="dxa"/>
          </w:tcPr>
          <w:p w14:paraId="5F3A6FB5" w14:textId="77777777" w:rsidR="00867419" w:rsidRPr="002B074F" w:rsidRDefault="00867419" w:rsidP="002B074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2B074F">
              <w:rPr>
                <w:b/>
              </w:rPr>
              <w:t>2</w:t>
            </w:r>
          </w:p>
        </w:tc>
        <w:tc>
          <w:tcPr>
            <w:tcW w:w="9337" w:type="dxa"/>
          </w:tcPr>
          <w:p w14:paraId="5FDC4B05" w14:textId="07A87C3E" w:rsidR="00867419" w:rsidRPr="002B074F" w:rsidRDefault="00867419" w:rsidP="002B074F">
            <w:pPr>
              <w:pStyle w:val="TableParagraph"/>
              <w:spacing w:line="360" w:lineRule="auto"/>
            </w:pPr>
            <w:r w:rsidRPr="002B074F">
              <w:t>Beynin genel organizasyonunu açıklayabilir.</w:t>
            </w:r>
          </w:p>
        </w:tc>
      </w:tr>
      <w:tr w:rsidR="00867419" w:rsidRPr="002B074F" w14:paraId="19CE540C" w14:textId="77777777" w:rsidTr="00C2703D">
        <w:trPr>
          <w:trHeight w:val="803"/>
        </w:trPr>
        <w:tc>
          <w:tcPr>
            <w:tcW w:w="660" w:type="dxa"/>
          </w:tcPr>
          <w:p w14:paraId="4FFA3883" w14:textId="77777777" w:rsidR="00867419" w:rsidRPr="002B074F" w:rsidRDefault="00867419" w:rsidP="002B074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2B074F">
              <w:rPr>
                <w:b/>
              </w:rPr>
              <w:t>3</w:t>
            </w:r>
          </w:p>
        </w:tc>
        <w:tc>
          <w:tcPr>
            <w:tcW w:w="9337" w:type="dxa"/>
          </w:tcPr>
          <w:p w14:paraId="4D56E64F" w14:textId="53195745" w:rsidR="00867419" w:rsidRPr="002B074F" w:rsidRDefault="00867419" w:rsidP="002B074F">
            <w:pPr>
              <w:pStyle w:val="TableParagraph"/>
              <w:tabs>
                <w:tab w:val="left" w:pos="1741"/>
                <w:tab w:val="left" w:pos="3588"/>
                <w:tab w:val="left" w:pos="4087"/>
                <w:tab w:val="left" w:pos="5265"/>
                <w:tab w:val="left" w:pos="6807"/>
                <w:tab w:val="left" w:pos="7987"/>
              </w:tabs>
              <w:spacing w:line="360" w:lineRule="auto"/>
              <w:ind w:right="102"/>
            </w:pPr>
            <w:r w:rsidRPr="002B074F">
              <w:t xml:space="preserve">Beynin organizasyonunu bilişsel süreçlerle (görsel işleme, işitsel işleme, dikkat ve/veya </w:t>
            </w:r>
            <w:r w:rsidR="00907635" w:rsidRPr="002B074F">
              <w:t>bellek gibi</w:t>
            </w:r>
            <w:r w:rsidRPr="002B074F">
              <w:t xml:space="preserve">) işlevsel </w:t>
            </w:r>
            <w:proofErr w:type="spellStart"/>
            <w:r w:rsidRPr="002B074F">
              <w:t>lateralizasyon</w:t>
            </w:r>
            <w:proofErr w:type="spellEnd"/>
            <w:r w:rsidRPr="002B074F">
              <w:t xml:space="preserve"> ve/veya </w:t>
            </w:r>
            <w:proofErr w:type="spellStart"/>
            <w:r w:rsidRPr="002B074F">
              <w:t>hemisferik</w:t>
            </w:r>
            <w:proofErr w:type="spellEnd"/>
            <w:r w:rsidRPr="002B074F">
              <w:t xml:space="preserve"> uzmanlaşmayı ilişkilendirebilir.</w:t>
            </w:r>
          </w:p>
        </w:tc>
      </w:tr>
      <w:tr w:rsidR="00867419" w:rsidRPr="002B074F" w14:paraId="2E5C2E7E" w14:textId="77777777" w:rsidTr="00867419">
        <w:trPr>
          <w:trHeight w:val="698"/>
        </w:trPr>
        <w:tc>
          <w:tcPr>
            <w:tcW w:w="660" w:type="dxa"/>
          </w:tcPr>
          <w:p w14:paraId="1B7B00B1" w14:textId="77777777" w:rsidR="00867419" w:rsidRPr="002B074F" w:rsidRDefault="00867419" w:rsidP="002B074F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2B074F">
              <w:rPr>
                <w:b/>
              </w:rPr>
              <w:t>4</w:t>
            </w:r>
          </w:p>
        </w:tc>
        <w:tc>
          <w:tcPr>
            <w:tcW w:w="9337" w:type="dxa"/>
          </w:tcPr>
          <w:p w14:paraId="58D63FD8" w14:textId="4EDCAAF7" w:rsidR="00867419" w:rsidRPr="002B074F" w:rsidRDefault="00867419" w:rsidP="002B074F">
            <w:pPr>
              <w:pStyle w:val="TableParagraph"/>
              <w:spacing w:line="360" w:lineRule="auto"/>
              <w:ind w:right="100"/>
              <w:jc w:val="both"/>
            </w:pPr>
            <w:r w:rsidRPr="002B074F">
              <w:t xml:space="preserve">Tipik ve atipik bilişsel ve duygusal süreçleri ve yaygın hastalıkların ve/veya sinir </w:t>
            </w:r>
            <w:r w:rsidR="00907635" w:rsidRPr="002B074F">
              <w:t>sistemi bozukluklarının</w:t>
            </w:r>
            <w:r w:rsidRPr="002B074F">
              <w:t xml:space="preserve"> altında yatan patolojik mekanizmaları açıklayabilir.</w:t>
            </w:r>
          </w:p>
        </w:tc>
      </w:tr>
    </w:tbl>
    <w:p w14:paraId="5EF16E67" w14:textId="77777777" w:rsidR="00610D0E" w:rsidRPr="002B074F" w:rsidRDefault="00610D0E" w:rsidP="002B074F">
      <w:pPr>
        <w:spacing w:line="360" w:lineRule="auto"/>
        <w:rPr>
          <w:b/>
        </w:rPr>
      </w:pPr>
    </w:p>
    <w:p w14:paraId="1FB1CA27" w14:textId="77777777" w:rsidR="00A06142" w:rsidRPr="002B074F" w:rsidRDefault="00A06142" w:rsidP="002B074F">
      <w:pPr>
        <w:spacing w:line="360" w:lineRule="auto"/>
        <w:rPr>
          <w:b/>
        </w:rPr>
      </w:pPr>
    </w:p>
    <w:p w14:paraId="15C3C88F" w14:textId="77777777" w:rsidR="00A06142" w:rsidRPr="002B074F" w:rsidRDefault="00A06142" w:rsidP="002B074F">
      <w:pPr>
        <w:spacing w:line="360" w:lineRule="auto"/>
        <w:jc w:val="both"/>
      </w:pPr>
    </w:p>
    <w:p w14:paraId="338C640C" w14:textId="77777777" w:rsidR="004824B1" w:rsidRPr="002B074F" w:rsidRDefault="004824B1" w:rsidP="002B074F">
      <w:pPr>
        <w:spacing w:line="360" w:lineRule="auto"/>
        <w:jc w:val="center"/>
      </w:pPr>
    </w:p>
    <w:sectPr w:rsidR="004824B1" w:rsidRPr="002B074F">
      <w:pgSz w:w="11910" w:h="16840"/>
      <w:pgMar w:top="140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42"/>
    <w:rsid w:val="00151494"/>
    <w:rsid w:val="0017427C"/>
    <w:rsid w:val="00186701"/>
    <w:rsid w:val="00197884"/>
    <w:rsid w:val="001B4502"/>
    <w:rsid w:val="00204A86"/>
    <w:rsid w:val="00260608"/>
    <w:rsid w:val="0026602E"/>
    <w:rsid w:val="002700F2"/>
    <w:rsid w:val="002B074F"/>
    <w:rsid w:val="002D5934"/>
    <w:rsid w:val="002E199F"/>
    <w:rsid w:val="003E7EF6"/>
    <w:rsid w:val="00402E5D"/>
    <w:rsid w:val="0044583C"/>
    <w:rsid w:val="004701A4"/>
    <w:rsid w:val="00480481"/>
    <w:rsid w:val="004824B1"/>
    <w:rsid w:val="004D17AC"/>
    <w:rsid w:val="00541BEB"/>
    <w:rsid w:val="00575B5C"/>
    <w:rsid w:val="005A7B97"/>
    <w:rsid w:val="00610D0E"/>
    <w:rsid w:val="00666D94"/>
    <w:rsid w:val="00680B06"/>
    <w:rsid w:val="006A70B1"/>
    <w:rsid w:val="006B6572"/>
    <w:rsid w:val="00702FDB"/>
    <w:rsid w:val="00736A56"/>
    <w:rsid w:val="007653BA"/>
    <w:rsid w:val="007700B8"/>
    <w:rsid w:val="007D5ECC"/>
    <w:rsid w:val="007E2DAC"/>
    <w:rsid w:val="00805165"/>
    <w:rsid w:val="00867419"/>
    <w:rsid w:val="008A7136"/>
    <w:rsid w:val="008D4FE6"/>
    <w:rsid w:val="00907635"/>
    <w:rsid w:val="009362B3"/>
    <w:rsid w:val="009533F4"/>
    <w:rsid w:val="00A06142"/>
    <w:rsid w:val="00A9456E"/>
    <w:rsid w:val="00B91F85"/>
    <w:rsid w:val="00C8192E"/>
    <w:rsid w:val="00D50FBD"/>
    <w:rsid w:val="00DD6EEE"/>
    <w:rsid w:val="00E53103"/>
    <w:rsid w:val="00E76494"/>
    <w:rsid w:val="00E7663F"/>
    <w:rsid w:val="00EB5BD6"/>
    <w:rsid w:val="00F10755"/>
    <w:rsid w:val="00F22A94"/>
    <w:rsid w:val="00FB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CA09"/>
  <w15:docId w15:val="{0ACA8723-1837-4449-BC2A-0D930626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MERT KÜÇÜK</cp:lastModifiedBy>
  <cp:revision>53</cp:revision>
  <dcterms:created xsi:type="dcterms:W3CDTF">2022-08-20T18:06:00Z</dcterms:created>
  <dcterms:modified xsi:type="dcterms:W3CDTF">2022-08-24T11:25:00Z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2022-08-20T00:00:00Z</vt:filetime>
  </property>
</Properties>
</file>